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0" w:rsidRDefault="003924F0" w:rsidP="003924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VI</w:t>
      </w:r>
    </w:p>
    <w:p w:rsidR="003A2527" w:rsidRDefault="003A2527" w:rsidP="003A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MEMORIAL DESCRITIVO – RUA BELO HORIZONTE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Pavimentação com Paralelepípedo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Proprietário: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Prefeitura Municipal de Benedito Novo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Rua Belo Horizonte</w:t>
      </w:r>
    </w:p>
    <w:p w:rsidR="003A2527" w:rsidRDefault="003A2527" w:rsidP="003A2527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Benedito Novo – SC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Agosto/2011</w:t>
      </w:r>
    </w:p>
    <w:p w:rsidR="003A2527" w:rsidRDefault="003A2527" w:rsidP="003A25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Extensão: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334,80 metros 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Disposições Iniciais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contempla 334,80 metros de extensão da Rua Belo Horizonte.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rua a ser pavimentada encontra-se implantada sendo o leito de boa qualidade servindo o material de base para o calçamento. A terraplanagem será executada de acordo com o projeto longitudinal da rua, com cortes e aterros para regularização do leito. Não haverá desapropriação nem indenização a moradores uma vez que a rua encontra-se implantada.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Será implantada uma nova rede pluvial uma vez que a existente encontra-se fracionada em diversos trechos não podendo ser reaproveitada.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descarga das redes se dará numa rede existente de 40 cm no trecho inicial, 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Empreiteira que executará os serviços será responsável por toda sinalização e segurança de veículos e pedestres que utilizam o local.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Serviços a serem executados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Drenagem Pluvial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Escavações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Executadas mecanicamente com retro-escavadeira sendo a profundidade máxima de 2,11 metros em solo de 1ª categoria, conforme o respectivo projeto. Após a escavação mecânica o fundo da vala deverá ser regularizado manualmente e colocado um berço de areia média e tábuas de madeira para o assentamento dos tubos.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 material da escavação que não for de boa qualidade para o reaterro deverá ser removido do local.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Tubos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tubos serão de concreto (BSTC) 40 cm e 30 cm de diâmetros assentados na forma convencional, rejuntados com argamassa, mantendo-se a declividade de projeto e as cotas definidas. Os tubos serão de concreto simples (categoria C1) em toda extensão da rede.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Caixa Coletora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coletores (boca de lobo) serão executados nos locais indicados e em conformidade com a planta de detalhes. Eles serão de alvenaria de tijolo maciço rebocada internamente com fundo de concreto simples. A tampa será de ferro padronizada conforme detalhe em projeto.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caixas existentes serão desprezadas e executadas novas adaptando-se ao novo perfil da rua.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Reaterro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Após o assentamento dos tubos os mesmos deverão ser recobertos com macadame até a superfície superior. Após poderá ser preenchido com outro material desde que de boa qualidade. A compactação se dará em camadas não superior a 30 cm.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Pavimentação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 Terraplanagem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removida uma camada superficial necessária para a colocação do berço de pó de pedra com espessura de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 e assentamento do paralelepípedo. O greide final da rua não poderá ser superior ao greide atual a não ser nos trechos a serem regularizados. Toda escavação será mecânica e o material da escavação removido do local e colocado em outro a ser definido pela fiscalização da obra. Após a remoção o terreno deverá ser compactado mecanicamente.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 Meio Fio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meio fio a ser utilizado será de concreto pré-fabricado nas dimensões de projeto com resistência mínima de 25 Mpa. Será assentado na forma convencional devendo a sua altura livre não ultrapassar a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>, sendo rebaixado nos locais de acesso de veículos para 5 cm.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 Paralelepípedo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pavimentação será executada com paralelepípedo, assentadas sobre berço de pó de pedra com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 de espessura. O pó de pedra deverá ser limpo e isento de matéria orgânica. Após o assentamento será colocada uma camada de pó de pedra para fechamento das juntas. Ao término do assentamento da pavimentação ela será compactada por meio de rolo compactador.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 final do calçamento, no encontro com as ruas de chão será executada uma viga de concreto simples, 35 Mpa, com 15cm x 30cm, moldada no local.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entulhos e sobras de materiais da obra deverão ser removidos do local.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Passeio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Reaterro do Passeio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local do passeio será regularizado com material reservado das escavações da pavimentação, sendo  compactado mecanicamente.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Concreto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calçada será de concreto simples usinado, resistência 120 Mpa, com espessura mínima de 7,00 cm. Após a cura inicial a superfície será desempenada e alisada até que se obtenha um acabamento uniforme. A calçada deverá ter uma declividade de 1% em direção ao meio fio.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Será executada junta de dilatação “seca” a cada 3,00 metros de distância. Para tanto o concreto será cortado com auxilio de uma régua de alumínio e colher de pedreiro, devendo penetrar pelo menos 2,0 cm no concreto. Após,com auxilio de uma barra de ferro de 8,0 mm a junta será superficialmente arredondada devendo atingir ¼” da circunferência da barra.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 pisos táctil serão assentados conforme projeto, piso podotátil (direcional e de alerta) nas dimensões (20,0x20,0)cm, com 6,0cm de espessura e resistência de 35 Mpa, conforme NBR 9050, devendo ser respeitado o mesmo nivelamento superior com pavimentação em concreto e demais detalhes de acabamento, colocação e qualidade.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Observação: a Prefeitura deverá fazer um levantamento prévio para demarcação dos rebaixos de meio fio para acesso de veículos.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Sinalização Viária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 Sinalização Horizontal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pStyle w:val="Recuodecorpodetexto3"/>
        <w:tabs>
          <w:tab w:val="left" w:pos="6237"/>
        </w:tabs>
        <w:spacing w:before="100" w:beforeAutospacing="1" w:after="100" w:afterAutospacing="1"/>
        <w:rPr>
          <w:rFonts w:cs="Times New Roman"/>
        </w:rPr>
      </w:pPr>
      <w:r>
        <w:t>Por se tratar de pavimentação com paralelepípedo, a sinalização horizontal será restrita a demarcação da faixa de pedestres e deverá atender a especificações do DNER ES 339/97.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 Sinalização Vertical</w:t>
      </w:r>
    </w:p>
    <w:p w:rsidR="003A2527" w:rsidRDefault="003A2527" w:rsidP="003A2527">
      <w:pPr>
        <w:pStyle w:val="Corpodetexto2"/>
        <w:spacing w:line="240" w:lineRule="auto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sinalização vertical será efetivada através da disposição de placas verticais, com posicionamento e dimensões definidas, transmitindo mensagens símbolos e/ou legendas normalizadas. Seu objetivo é a regulamentação das limitações, proibições e restrições que governam o uso da rodovia urbana.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placas serão projetadas e posicionadas em locais tais que permitam sua imediata visualização e compreensão, observando-se cuidadosamente os requisitos de cores, dimensões e posição.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Sinalização Urbana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serviços de sinalização deverão atender as especificações do DNIT e estar em conformidade com o Código de Transito Brasileiro (Lei nº 9.503 de 23 de setembro de 1997 e Lei nº 9.602 de 21 de janeiro de 1998) e com as respectivas Normas e Regulamentações do CONTRAN, além de atender as diretrizes e orientações da Prefeitura Municipal de Rio dos Cedros.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Sinalização Vertical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 materiais utilizados nas execuções dos serviços de Sinalização Vertical deverão atender a norma DNER ES 340/97 e as diretrizes e orientações da PMRC.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sinalização vertical é composta pelos seguintes elementos: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Cs/>
          <w:u w:val="single"/>
        </w:rPr>
      </w:pP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Cs/>
          <w:u w:val="single"/>
        </w:rPr>
      </w:pP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Base de fixação e coluna vertical</w:t>
      </w:r>
    </w:p>
    <w:p w:rsidR="003A2527" w:rsidRDefault="003A2527" w:rsidP="003A2527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Escavação e preparação da área para execução da base em concreto e recebimento do suporte de sustentação (coluna vertical) das placas.</w:t>
      </w:r>
    </w:p>
    <w:p w:rsidR="003A2527" w:rsidRDefault="003A2527" w:rsidP="003A2527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suporte de sustentação deverá ser chumbado simultaneamente a execução da base de fixação em concreto.</w:t>
      </w:r>
    </w:p>
    <w:p w:rsidR="003A2527" w:rsidRDefault="003A2527" w:rsidP="003A2527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 materiais utilizados para construção da base deverão atender as especificações DNER ES 330/97.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Suporte de sustentação</w:t>
      </w:r>
    </w:p>
    <w:p w:rsidR="003A2527" w:rsidRDefault="003A2527" w:rsidP="003A2527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suporte de sustentação é um tubo de aço galvanizado a fogo (por dentro e por fora) </w:t>
      </w:r>
      <w:r>
        <w:rPr>
          <w:rStyle w:val="Forte"/>
          <w:rFonts w:cs="Arial"/>
        </w:rPr>
        <w:t xml:space="preserve">com comprimento mínimo de </w:t>
      </w:r>
      <w:smartTag w:uri="urn:schemas-microsoft-com:office:smarttags" w:element="metricconverter">
        <w:smartTagPr>
          <w:attr w:name="ProductID" w:val="3,60 m"/>
        </w:smartTagPr>
        <w:r>
          <w:rPr>
            <w:rStyle w:val="Forte"/>
            <w:rFonts w:cs="Arial"/>
          </w:rPr>
          <w:t>3,60 m</w:t>
        </w:r>
      </w:smartTag>
      <w:r>
        <w:rPr>
          <w:rStyle w:val="Forte"/>
          <w:rFonts w:cs="Arial"/>
        </w:rPr>
        <w:t xml:space="preserve"> e </w:t>
      </w:r>
      <w:r>
        <w:rPr>
          <w:rFonts w:ascii="Arial" w:hAnsi="Arial" w:cs="Arial"/>
        </w:rPr>
        <w:t xml:space="preserve">diâmetro de </w:t>
      </w:r>
      <w:smartTag w:uri="urn:schemas-microsoft-com:office:smarttags" w:element="metricconverter">
        <w:smartTagPr>
          <w:attr w:name="ProductID" w:val="2”"/>
        </w:smartTagPr>
        <w:r>
          <w:rPr>
            <w:rFonts w:ascii="Arial" w:hAnsi="Arial" w:cs="Arial"/>
          </w:rPr>
          <w:t>2”</w:t>
        </w:r>
      </w:smartTag>
      <w:r>
        <w:rPr>
          <w:rFonts w:ascii="Arial" w:hAnsi="Arial" w:cs="Arial"/>
        </w:rPr>
        <w:t>, onde na sua parte inferior são soldadas aletas, com o intuito de evitar o giro do mesmo junto a base.</w:t>
      </w:r>
    </w:p>
    <w:p w:rsidR="003A2527" w:rsidRDefault="003A2527" w:rsidP="003A2527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tubo de aço galvanizado deverá atender as especificações d</w:t>
      </w:r>
      <w:r>
        <w:rPr>
          <w:rStyle w:val="Forte"/>
          <w:rFonts w:cs="Arial"/>
        </w:rPr>
        <w:t xml:space="preserve">os tubos de condução pretos e galvanizados </w:t>
      </w:r>
      <w:r>
        <w:rPr>
          <w:rFonts w:ascii="Arial" w:hAnsi="Arial" w:cs="Arial"/>
        </w:rPr>
        <w:t>descritos nas normas NBR 5580, ABNT EB 182, DIN - 2440/2441 e ASTM A-36.</w:t>
      </w:r>
    </w:p>
    <w:p w:rsidR="003A2527" w:rsidRDefault="003A2527" w:rsidP="003A2527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suporte de sustentação deverá manter-se rígido e em posição permanente e apropriada evitando que as placas girem.</w:t>
      </w:r>
    </w:p>
    <w:p w:rsidR="003A2527" w:rsidRDefault="003A2527" w:rsidP="003A2527">
      <w:pPr>
        <w:pStyle w:val="Corpodetexto2"/>
        <w:spacing w:before="100" w:beforeAutospacing="1" w:line="240" w:lineRule="auto"/>
        <w:ind w:firstLine="709"/>
        <w:jc w:val="both"/>
        <w:rPr>
          <w:rFonts w:ascii="Arial" w:hAnsi="Arial" w:cs="Arial"/>
          <w:u w:val="single"/>
        </w:rPr>
      </w:pPr>
    </w:p>
    <w:p w:rsidR="003A2527" w:rsidRDefault="003A2527" w:rsidP="003A2527">
      <w:pPr>
        <w:pStyle w:val="Corpodetexto2"/>
        <w:spacing w:before="100" w:beforeAutospacing="1" w:line="240" w:lineRule="auto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Placas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placas (totalmente refletiva) serão fixadas ao suporte de sustentação com parafusos 5/16” galvanizados, tipo francês, com porcas e arruelas.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chapas utilizadas para confecção das placas devem ser em aço galvanizado na espessura mínima de </w:t>
      </w:r>
      <w:smartTag w:uri="urn:schemas-microsoft-com:office:smarttags" w:element="metricconverter">
        <w:smartTagPr>
          <w:attr w:name="ProductID" w:val="1,25 mm"/>
        </w:smartTagPr>
        <w:r>
          <w:rPr>
            <w:rFonts w:ascii="Arial" w:hAnsi="Arial" w:cs="Arial"/>
          </w:rPr>
          <w:t>1,25 mm</w:t>
        </w:r>
      </w:smartTag>
      <w:r>
        <w:rPr>
          <w:rFonts w:ascii="Arial" w:hAnsi="Arial" w:cs="Arial"/>
        </w:rPr>
        <w:t>. A superfície posterior deverá ser preparada com tinta preta fosca. A superfície que ira receber a mensagem deverá ser preparada com primer.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películas refletivas devem ser no grau técnico alta-intensidade, permitir corte em ploter e apresentar a mesma visibilidade tanto diurna quanto noturna dos faróis dos veículos à noite.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cores das películas deverão estar de acordo com os valores descritos na tabela de coordenadas de cromaticidade especificada pela ABNT, conforme norma ASTM D 4956.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película deverá possuir característica destrutível, não permitindo a sua remoção quando submetida a um tencionamento.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película deverá manter-se inalterada mantendo suas características originais quanto à tonalidade, aderência, e retrorefletância, por um período mínimo de sete anos em exposição normal, vertical e estacionaria.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/>
    <w:p w:rsidR="003A2527" w:rsidRDefault="003A2527" w:rsidP="003A2527"/>
    <w:p w:rsidR="003A2527" w:rsidRDefault="003A2527" w:rsidP="003A2527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CÁLCULO DA ESPESSURA DO PAVIMENTO</w:t>
      </w:r>
    </w:p>
    <w:p w:rsidR="003A2527" w:rsidRDefault="003A2527" w:rsidP="003A2527">
      <w:pPr>
        <w:rPr>
          <w:rFonts w:ascii="Arial" w:hAnsi="Arial"/>
          <w:b/>
        </w:rPr>
      </w:pPr>
    </w:p>
    <w:p w:rsidR="003A2527" w:rsidRDefault="003A2527" w:rsidP="003A2527">
      <w:pPr>
        <w:pStyle w:val="Recuodecorpodetexto3"/>
        <w:ind w:firstLine="0"/>
      </w:pPr>
      <w:r>
        <w:t xml:space="preserve">A especificação supracitada estabelece que para determinar as diversas camadas constituintes do pavimento deverá ser empregado a </w:t>
      </w:r>
      <w:r>
        <w:rPr>
          <w:u w:val="single"/>
        </w:rPr>
        <w:t>Equação de Peltier</w:t>
      </w:r>
      <w:r>
        <w:t>, aplicável ao método de dimensionamento pelo Índice de Suporte Califórnia característico do subleito, que é preconizado para os dimensionamentos envolvendo pavimentos com poliedros, como segue:</w:t>
      </w:r>
    </w:p>
    <w:p w:rsidR="003A2527" w:rsidRDefault="003A2527" w:rsidP="003A2527">
      <w:pPr>
        <w:spacing w:before="240"/>
        <w:jc w:val="center"/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sz w:val="28"/>
        </w:rPr>
        <w:t xml:space="preserve">E = </w:t>
      </w:r>
      <w:r>
        <w:rPr>
          <w:rFonts w:ascii="Arial" w:hAnsi="Arial"/>
          <w:b/>
          <w:bCs/>
          <w:sz w:val="28"/>
          <w:u w:val="single"/>
        </w:rPr>
        <w:t>(100+150 x P</w:t>
      </w:r>
      <w:r>
        <w:rPr>
          <w:rFonts w:ascii="Arial" w:hAnsi="Arial" w:cs="Arial"/>
          <w:b/>
          <w:bCs/>
          <w:sz w:val="28"/>
          <w:u w:val="single"/>
          <w:vertAlign w:val="superscript"/>
        </w:rPr>
        <w:t>½</w:t>
      </w:r>
      <w:r>
        <w:rPr>
          <w:rFonts w:ascii="Arial" w:hAnsi="Arial"/>
          <w:b/>
          <w:bCs/>
          <w:sz w:val="28"/>
          <w:u w:val="single"/>
        </w:rPr>
        <w:t>) x T / T</w:t>
      </w:r>
      <w:r>
        <w:rPr>
          <w:rFonts w:ascii="Arial" w:hAnsi="Arial"/>
          <w:b/>
          <w:bCs/>
          <w:sz w:val="28"/>
          <w:u w:val="single"/>
          <w:vertAlign w:val="subscript"/>
        </w:rPr>
        <w:t>0</w:t>
      </w:r>
    </w:p>
    <w:p w:rsidR="003A2527" w:rsidRDefault="003A2527" w:rsidP="003A2527">
      <w:pPr>
        <w:pStyle w:val="Ttulo4"/>
        <w:spacing w:before="0" w:after="120"/>
        <w:ind w:left="4253"/>
        <w:rPr>
          <w:rFonts w:ascii="Arial" w:hAnsi="Arial"/>
          <w:bCs/>
          <w:sz w:val="28"/>
        </w:rPr>
      </w:pPr>
      <w:r>
        <w:rPr>
          <w:rFonts w:ascii="Arial" w:hAnsi="Arial"/>
          <w:bCs/>
        </w:rPr>
        <w:t xml:space="preserve"> I</w:t>
      </w:r>
      <w:r>
        <w:rPr>
          <w:rFonts w:ascii="Arial" w:hAnsi="Arial"/>
          <w:bCs/>
          <w:vertAlign w:val="subscript"/>
        </w:rPr>
        <w:t>SCP</w:t>
      </w:r>
      <w:r>
        <w:rPr>
          <w:rFonts w:ascii="Arial" w:hAnsi="Arial"/>
          <w:bCs/>
        </w:rPr>
        <w:t xml:space="preserve"> + 5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  <w:sz w:val="26"/>
        </w:rPr>
      </w:pPr>
      <w:r>
        <w:rPr>
          <w:rFonts w:ascii="Arial" w:hAnsi="Arial"/>
        </w:rPr>
        <w:t>E = Espessura total do pavimento, em centímetros;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</w:rPr>
        <w:t>P = Carga por roda, em tonelada;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I</w:t>
      </w:r>
      <w:r>
        <w:rPr>
          <w:rFonts w:ascii="Arial" w:hAnsi="Arial"/>
          <w:vertAlign w:val="subscript"/>
        </w:rPr>
        <w:t>SCP</w:t>
      </w:r>
      <w:r>
        <w:rPr>
          <w:rFonts w:ascii="Arial" w:hAnsi="Arial"/>
        </w:rPr>
        <w:t xml:space="preserve"> = CBR do subleito, em percentagem;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T = Tráfego real por ano e por metro de largura, em toneladas;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T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Tráfego de referência.</w:t>
      </w:r>
    </w:p>
    <w:p w:rsidR="003A2527" w:rsidRDefault="003A2527" w:rsidP="003A2527">
      <w:pPr>
        <w:spacing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Entretanto para facilitar o estudo acima a especificação descreve que para uma média diária de até 100 veículos comerciais, como ônibus e caminhões de qualquer espécie (os veículos de passeio não são considerados) pode-se utilizar os valores dos coeficientes de segurança (K) igual a 1,00 e o índice de suporte de sub-leito variando de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/>
          </w:rPr>
          <w:t>0 a</w:t>
        </w:r>
      </w:smartTag>
      <w:r>
        <w:rPr>
          <w:rFonts w:ascii="Arial" w:hAnsi="Arial"/>
        </w:rPr>
        <w:t xml:space="preserve"> 22% chegando-se aos seguintes resultados apresentados nas tabelas abaixo: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</w:rPr>
      </w:pPr>
    </w:p>
    <w:tbl>
      <w:tblPr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2875"/>
        <w:gridCol w:w="1640"/>
        <w:gridCol w:w="1774"/>
        <w:gridCol w:w="1600"/>
      </w:tblGrid>
      <w:tr w:rsidR="003A2527" w:rsidTr="00681F8B">
        <w:trPr>
          <w:trHeight w:val="525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Índice de Suporte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Espessura da base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Espessura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Índice de                     Suporte Mínimo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Espessura  Total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>Sub-leito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>(areia+lajota)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>Reforço Sub-leito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>Sub-leito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>E= Ep+Er)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(IS)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(Ep)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(Isr)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78,0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67,0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58,0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52,0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47,0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42,0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>
                <w:rPr>
                  <w:rFonts w:ascii="Arial" w:hAnsi="Arial" w:cs="Arial"/>
                </w:rPr>
                <w:t>7 a</w:t>
              </w:r>
            </w:smartTag>
            <w:r>
              <w:rPr>
                <w:rFonts w:ascii="Arial" w:hAnsi="Arial" w:cs="Arial"/>
              </w:rPr>
              <w:t xml:space="preserve"> 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38,0</w:t>
            </w:r>
          </w:p>
        </w:tc>
      </w:tr>
      <w:tr w:rsidR="003A2527" w:rsidTr="00681F8B">
        <w:trPr>
          <w:trHeight w:val="270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Acima de 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NPR*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23,0</w:t>
            </w:r>
          </w:p>
        </w:tc>
      </w:tr>
      <w:tr w:rsidR="003A2527" w:rsidTr="00681F8B">
        <w:trPr>
          <w:cantSplit/>
          <w:trHeight w:val="270"/>
        </w:trPr>
        <w:tc>
          <w:tcPr>
            <w:tcW w:w="4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16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szCs w:val="16"/>
              </w:rPr>
              <w:t>* NPR - Não precisa de Reforço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>(Espessura em cm)</w:t>
            </w:r>
          </w:p>
        </w:tc>
      </w:tr>
    </w:tbl>
    <w:p w:rsidR="003A2527" w:rsidRDefault="003A2527" w:rsidP="003A2527">
      <w:pPr>
        <w:pStyle w:val="Recuodecorpodetexto3"/>
        <w:spacing w:after="100" w:afterAutospacing="1"/>
        <w:ind w:firstLine="0"/>
      </w:pPr>
    </w:p>
    <w:p w:rsidR="003A2527" w:rsidRDefault="003A2527" w:rsidP="003A2527">
      <w:pPr>
        <w:pStyle w:val="Recuodecorpodetexto3"/>
        <w:spacing w:after="100" w:afterAutospacing="1"/>
        <w:ind w:firstLine="0"/>
      </w:pPr>
      <w:r>
        <w:t>Assim, com base no índice suporte californiano do sub-leito igual a 20% e associado à tabela acima a estrutura de pavimento adotada é:</w:t>
      </w:r>
    </w:p>
    <w:p w:rsidR="003A2527" w:rsidRDefault="003A2527" w:rsidP="003A2527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- ESPESSURA DO PARALELEÍPEDO – 12cm (aproximado e em condições mínimas)</w:t>
      </w:r>
    </w:p>
    <w:p w:rsidR="003A2527" w:rsidRDefault="003A2527" w:rsidP="003A2527">
      <w:pPr>
        <w:rPr>
          <w:rFonts w:ascii="Arial" w:hAnsi="Arial" w:cs="Arial"/>
          <w:szCs w:val="26"/>
        </w:rPr>
      </w:pPr>
    </w:p>
    <w:p w:rsidR="003A2527" w:rsidRDefault="003A2527" w:rsidP="003A2527">
      <w:pPr>
        <w:rPr>
          <w:szCs w:val="24"/>
        </w:rPr>
      </w:pPr>
      <w:r>
        <w:rPr>
          <w:rFonts w:ascii="Arial" w:hAnsi="Arial" w:cs="Arial"/>
          <w:szCs w:val="26"/>
        </w:rPr>
        <w:t>- ESPESSURA DA BASE DE PÓDE PEDRA – mínimo 13cm, sendo adotado 15cm, favorável a segurança.</w:t>
      </w:r>
    </w:p>
    <w:p w:rsidR="003A2527" w:rsidRDefault="003A2527" w:rsidP="003A2527"/>
    <w:p w:rsidR="003A2527" w:rsidRDefault="003A2527" w:rsidP="003A2527"/>
    <w:p w:rsidR="003A2527" w:rsidRDefault="003A2527" w:rsidP="003A2527"/>
    <w:p w:rsidR="003A2527" w:rsidRDefault="003A2527" w:rsidP="003A2527"/>
    <w:p w:rsidR="003A2527" w:rsidRDefault="003A2527" w:rsidP="003A2527"/>
    <w:p w:rsidR="003A2527" w:rsidRDefault="003A2527" w:rsidP="003A2527"/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ESTUDOS HIDROLÓGICOS</w:t>
      </w: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Recuodecorpodetexto3"/>
        <w:ind w:firstLine="0"/>
      </w:pPr>
      <w:r>
        <w:t>O objetivo é a definição dos elementos necessários ao estudo de vazão dos dispositivos de drenagem da Rua Belo Horizonte.</w:t>
      </w:r>
    </w:p>
    <w:p w:rsidR="003A2527" w:rsidRDefault="003A2527" w:rsidP="003A2527">
      <w:pPr>
        <w:pStyle w:val="Recuodecorpodetexto3"/>
        <w:ind w:firstLine="0"/>
      </w:pPr>
    </w:p>
    <w:p w:rsidR="003A2527" w:rsidRDefault="003A2527" w:rsidP="003A2527">
      <w:pPr>
        <w:pStyle w:val="Recuodecorpodetexto3"/>
        <w:ind w:firstLine="0"/>
      </w:pPr>
      <w:r>
        <w:t>Com o propósito de se fazer à seleção das estruturas, lançou-se mão de elementos e dados suplementares fornecidos por: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Estudos topográficos;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Cadastros das obras de arte existente;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Inspeções de campo.</w:t>
      </w:r>
    </w:p>
    <w:p w:rsidR="003A2527" w:rsidRDefault="003A2527" w:rsidP="003A2527">
      <w:pPr>
        <w:pStyle w:val="Corpodetexto2"/>
        <w:spacing w:after="0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levantamento planialtimétrico realizaram-se estudos hidrológicos das bacias de contribuição que abrangem a via com o intuito de materializarmos o dimensionamento dos tubos a serem implantados.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descarga em uma determinada seção de estudo é função das características fisiográficas da bacia de contribuição.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 base no “</w:t>
      </w:r>
      <w:r>
        <w:rPr>
          <w:rFonts w:ascii="Arial" w:hAnsi="Arial" w:cs="Arial"/>
          <w:szCs w:val="38"/>
        </w:rPr>
        <w:t>MANUAL DE HIDROLOGIA BÁSICA PARA ESTRUTURAS DE DRENAGEM”, (versão preliminar 2005), elaborada pelo DNIT, estabeleceu-se que as bacias com area</w:t>
      </w:r>
      <w:r>
        <w:rPr>
          <w:rFonts w:ascii="Arial" w:hAnsi="Arial" w:cs="Arial"/>
        </w:rPr>
        <w:t xml:space="preserve"> inferiores a 1 km² e que não apresentam complexidade deve-se utilizar o </w:t>
      </w:r>
      <w:r>
        <w:rPr>
          <w:rFonts w:ascii="Arial" w:hAnsi="Arial" w:cs="Arial"/>
          <w:b/>
          <w:bCs/>
        </w:rPr>
        <w:t>Método Racional</w:t>
      </w:r>
      <w:r>
        <w:rPr>
          <w:rFonts w:ascii="Arial" w:hAnsi="Arial" w:cs="Arial"/>
          <w:szCs w:val="38"/>
        </w:rPr>
        <w:t xml:space="preserve"> para a </w:t>
      </w:r>
      <w:r>
        <w:rPr>
          <w:rFonts w:ascii="Arial" w:hAnsi="Arial" w:cs="Arial"/>
        </w:rPr>
        <w:t>transformação de chuvas em deflúvio superficial.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Procedimento Metodológico</w:t>
      </w: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estudo foi desenvolvido com o objetivo de se estabelecer uma correlação entre área e deflúvio para a bacia.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aplicação do Método Racional pressupõe a determinação das bacias de contribuição. Para tanto foi utilizado o levantamento realizado.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Tempo de Recorrência</w:t>
      </w: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tempo de recorrência para projetos rodoviários em relação aos dispositivos de drenagem superficial foi fixado, segundo o “</w:t>
      </w:r>
      <w:r>
        <w:rPr>
          <w:rFonts w:ascii="Arial" w:hAnsi="Arial" w:cs="Arial"/>
          <w:szCs w:val="38"/>
        </w:rPr>
        <w:t>MANUAL DE HIDROLOGIA BÁSICA PARA ESTRUTURAS DE DRENAGEM”, em 10 anos</w:t>
      </w:r>
      <w:r>
        <w:rPr>
          <w:rFonts w:ascii="Arial" w:hAnsi="Arial" w:cs="Arial"/>
          <w:color w:val="24211D"/>
          <w:szCs w:val="38"/>
        </w:rPr>
        <w:t>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Tempo de Concentração</w:t>
      </w: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Apoiado nos mapas regionais foi possível estabelecer a demarcação das bacias de contribuição, e com base nesta delimitação foi possível definir os seguintes parâmetros: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= Área de drenagem em hectares (1 km2 = 100ha)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 = Comprimento do talvegue mais extenso, em metros;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= Declividade média do talvegue principal em percentual.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3"/>
        <w:spacing w:after="0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Aplicando na equação:</w:t>
      </w:r>
    </w:p>
    <w:p w:rsidR="003A2527" w:rsidRDefault="003A2527" w:rsidP="003A2527">
      <w:pPr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Tc =  </w:t>
      </w:r>
      <w:r>
        <w:rPr>
          <w:rFonts w:ascii="Arial" w:hAnsi="Arial" w:cs="Arial"/>
          <w:b/>
          <w:bCs/>
          <w:u w:val="single"/>
        </w:rPr>
        <w:t>10  x A</w:t>
      </w:r>
      <w:r>
        <w:rPr>
          <w:rFonts w:ascii="Arial" w:hAnsi="Arial" w:cs="Arial"/>
          <w:b/>
          <w:bCs/>
          <w:u w:val="single"/>
          <w:vertAlign w:val="superscript"/>
        </w:rPr>
        <w:t>0,3</w:t>
      </w:r>
      <w:r>
        <w:rPr>
          <w:rFonts w:ascii="Arial" w:hAnsi="Arial" w:cs="Arial"/>
          <w:b/>
          <w:bCs/>
          <w:u w:val="single"/>
        </w:rPr>
        <w:t xml:space="preserve"> x L</w:t>
      </w:r>
      <w:r>
        <w:rPr>
          <w:rFonts w:ascii="Arial" w:hAnsi="Arial" w:cs="Arial"/>
          <w:b/>
          <w:bCs/>
          <w:u w:val="single"/>
          <w:vertAlign w:val="superscript"/>
        </w:rPr>
        <w:t>0,2</w:t>
      </w:r>
    </w:p>
    <w:p w:rsidR="003A2527" w:rsidRDefault="003A2527" w:rsidP="003A2527">
      <w:pPr>
        <w:ind w:left="1134" w:hanging="1134"/>
        <w:jc w:val="both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K  x I</w:t>
      </w:r>
      <w:r>
        <w:rPr>
          <w:rFonts w:ascii="Arial" w:hAnsi="Arial" w:cs="Arial"/>
          <w:b/>
          <w:bCs/>
          <w:vertAlign w:val="superscript"/>
        </w:rPr>
        <w:t>0,4</w:t>
      </w:r>
    </w:p>
    <w:p w:rsidR="003A2527" w:rsidRDefault="003A2527" w:rsidP="003A2527">
      <w:pPr>
        <w:pStyle w:val="Corpodetexto3"/>
        <w:spacing w:after="0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Onde: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Tc = Tempo de concentração, em min,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 = Coeficiente tabelado em função das características do complexo solo/vegetação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 base nas características do terreno e do tipo de ocupação da área utilizou-se o valor do coeficiente “K” igual a três (3,0), conforme tabela abaixo: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9936" w:type="dxa"/>
        <w:tblLook w:val="01E0" w:firstRow="1" w:lastRow="1" w:firstColumn="1" w:lastColumn="1" w:noHBand="0" w:noVBand="0"/>
      </w:tblPr>
      <w:tblGrid>
        <w:gridCol w:w="8799"/>
        <w:gridCol w:w="1137"/>
      </w:tblGrid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K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Terreno areno-argiloso, coberto de vegetação intensa, elevada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Terreno comum, coberto de vegetação, absorção apreciável.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3,0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Terreno argiloso, coberto de vegetação, absorção média.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Terreno argiloso de vegetação média, pouca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Terreno com rocha, escassa vegetação, baixa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Terreno rochoso, vegetação rala, reduzida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</w:tbl>
    <w:p w:rsidR="003A2527" w:rsidRDefault="003A2527" w:rsidP="003A2527">
      <w:pPr>
        <w:jc w:val="both"/>
        <w:rPr>
          <w:rFonts w:ascii="Arial" w:hAnsi="Arial" w:cs="Arial"/>
          <w:sz w:val="26"/>
        </w:rPr>
      </w:pPr>
    </w:p>
    <w:p w:rsidR="003A2527" w:rsidRDefault="003A2527" w:rsidP="003A2527">
      <w:pPr>
        <w:jc w:val="both"/>
        <w:rPr>
          <w:rFonts w:ascii="Arial" w:hAnsi="Arial" w:cs="Arial"/>
          <w:sz w:val="26"/>
        </w:rPr>
      </w:pPr>
    </w:p>
    <w:p w:rsidR="003A2527" w:rsidRDefault="003A2527" w:rsidP="003A25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Aplicação do Método Racional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método racional é utilizado há muitos anos no projeto de sistema de drenagem e em particular para o dimensionamento de galerias de águas pluviais. Com sua aplicação obtemos uma estimativa feita da vazão efluente das bacias de contribuição com área inferior a 1km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Utilizou-se o método racional mediante ao emprego da seguinte expressão:</w:t>
      </w:r>
    </w:p>
    <w:p w:rsidR="003A2527" w:rsidRDefault="003A2527" w:rsidP="003A2527">
      <w:pPr>
        <w:pStyle w:val="Ttulo8"/>
        <w:jc w:val="both"/>
        <w:rPr>
          <w:rFonts w:cs="Arial"/>
        </w:rPr>
      </w:pPr>
      <w:r>
        <w:rPr>
          <w:rFonts w:cs="Arial"/>
        </w:rPr>
        <w:t>Q = 0,278 CIA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Onde: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 = vazão em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 s;</w:t>
      </w:r>
    </w:p>
    <w:p w:rsidR="003A2527" w:rsidRDefault="003A2527" w:rsidP="003A2527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 = coeficiente de escoamento ou deflúvio;</w:t>
      </w:r>
    </w:p>
    <w:p w:rsidR="003A2527" w:rsidRDefault="003A2527" w:rsidP="003A2527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= intensidade de precipitação em mm/h e;</w:t>
      </w:r>
    </w:p>
    <w:p w:rsidR="003A2527" w:rsidRDefault="003A2527" w:rsidP="003A2527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= área da bacia, em km</w:t>
      </w:r>
      <w:r>
        <w:rPr>
          <w:rFonts w:ascii="Arial" w:hAnsi="Arial" w:cs="Arial"/>
          <w:vertAlign w:val="superscript"/>
        </w:rPr>
        <w:t>2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implementação do método proposto há necessidade de se fixar o coeficiente de escoamento. A fixação consiste em avaliar, de todas as maneiras possíveis a conduta do solo sob a chuva, a retenção da água pela cobertura vegetal e pelo solo e a influência das características físicas da bacia tais como; forma, declividade, comprimento do talvegue, rede de drenagem, formação do escoamento superficial.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avaliação criteriosa depende da sensibilidade pessoal e da análise de todos os fatores como: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Tipo de cobertura;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estudo geológico;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 de locais atualizados no que diz respeito ao tipo de solo, uso da terra e estimativa da permeabilidade do solo.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984"/>
      </w:tblGrid>
      <w:tr w:rsidR="003A2527" w:rsidTr="00681F8B">
        <w:trPr>
          <w:trHeight w:val="851"/>
        </w:trPr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b/>
                <w:bCs/>
                <w:sz w:val="26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COEFICIENTE DE ESCOAMENTO SUPERFICIAL “C” (COEF.DE RUNOFF)</w:t>
            </w:r>
          </w:p>
        </w:tc>
      </w:tr>
      <w:tr w:rsidR="003A2527" w:rsidTr="00681F8B">
        <w:trPr>
          <w:trHeight w:val="338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DESCRIÇÃO DA ÁREA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comercial central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0,70 a"/>
              </w:smartTagPr>
              <w:r>
                <w:rPr>
                  <w:rFonts w:ascii="Arial" w:hAnsi="Arial" w:cs="Arial"/>
                </w:rPr>
                <w:t>0,70 a</w:t>
              </w:r>
            </w:smartTag>
            <w:r>
              <w:rPr>
                <w:rFonts w:ascii="Arial" w:hAnsi="Arial" w:cs="Arial"/>
              </w:rPr>
              <w:t xml:space="preserve"> 0,95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comercial de bairros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0,50 a"/>
              </w:smartTagPr>
              <w:r>
                <w:rPr>
                  <w:rFonts w:ascii="Arial" w:hAnsi="Arial" w:cs="Arial"/>
                </w:rPr>
                <w:t>0,50 a</w:t>
              </w:r>
            </w:smartTag>
            <w:r>
              <w:rPr>
                <w:rFonts w:ascii="Arial" w:hAnsi="Arial" w:cs="Arial"/>
              </w:rPr>
              <w:t xml:space="preserve"> 0,70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residencial, residências isoladas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0,30 a 0,50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residencial, unidades múltiplas (separadas)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0,40 a"/>
              </w:smartTagPr>
              <w:r>
                <w:rPr>
                  <w:rFonts w:ascii="Arial" w:hAnsi="Arial" w:cs="Arial"/>
                </w:rPr>
                <w:t>0,40 a</w:t>
              </w:r>
            </w:smartTag>
            <w:r>
              <w:rPr>
                <w:rFonts w:ascii="Arial" w:hAnsi="Arial" w:cs="Arial"/>
              </w:rPr>
              <w:t xml:space="preserve"> 0,60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residencial, unidades múltiplas (conjugadas)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0,60 a"/>
              </w:smartTagPr>
              <w:r>
                <w:rPr>
                  <w:rFonts w:ascii="Arial" w:hAnsi="Arial" w:cs="Arial"/>
                </w:rPr>
                <w:t>0,60 a</w:t>
              </w:r>
            </w:smartTag>
            <w:r>
              <w:rPr>
                <w:rFonts w:ascii="Arial" w:hAnsi="Arial" w:cs="Arial"/>
              </w:rPr>
              <w:t xml:space="preserve"> 0,75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com prédios de apartamentos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0,50 a"/>
              </w:smartTagPr>
              <w:r>
                <w:rPr>
                  <w:rFonts w:ascii="Arial" w:hAnsi="Arial" w:cs="Arial"/>
                </w:rPr>
                <w:t>0,50 a</w:t>
              </w:r>
            </w:smartTag>
            <w:r>
              <w:rPr>
                <w:rFonts w:ascii="Arial" w:hAnsi="Arial" w:cs="Arial"/>
              </w:rPr>
              <w:t xml:space="preserve"> 0,70</w:t>
            </w:r>
          </w:p>
        </w:tc>
      </w:tr>
    </w:tbl>
    <w:p w:rsidR="003A2527" w:rsidRDefault="003A2527" w:rsidP="003A2527">
      <w:pPr>
        <w:pStyle w:val="Corpodetexto2"/>
        <w:spacing w:after="0" w:line="240" w:lineRule="auto"/>
        <w:jc w:val="both"/>
        <w:rPr>
          <w:rFonts w:ascii="Arial" w:hAnsi="Arial" w:cs="Arial"/>
          <w:sz w:val="26"/>
        </w:rPr>
      </w:pPr>
    </w:p>
    <w:p w:rsidR="003A2527" w:rsidRDefault="003A2527" w:rsidP="003A2527">
      <w:pPr>
        <w:pStyle w:val="Corpodetexto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Intensidade de chuvas</w:t>
      </w:r>
    </w:p>
    <w:p w:rsidR="003A2527" w:rsidRDefault="003A2527" w:rsidP="003A2527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Adotou-se para as chuvas intensas o posto pluviométrico mais próximo a região, portanto com o tempo de concentração encontrado e o tempo de recorrência encontramos “I” na tabela abaixo, do posto indicado.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200"/>
        <w:gridCol w:w="1077"/>
        <w:gridCol w:w="1077"/>
        <w:gridCol w:w="1078"/>
        <w:gridCol w:w="1078"/>
        <w:gridCol w:w="1078"/>
        <w:gridCol w:w="1079"/>
        <w:gridCol w:w="1079"/>
        <w:gridCol w:w="1080"/>
      </w:tblGrid>
      <w:tr w:rsidR="003A2527" w:rsidTr="00681F8B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Duração</w:t>
            </w:r>
          </w:p>
        </w:tc>
        <w:tc>
          <w:tcPr>
            <w:tcW w:w="8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retorno (anos)</w:t>
            </w:r>
          </w:p>
        </w:tc>
      </w:tr>
      <w:tr w:rsidR="003A2527" w:rsidTr="00681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27" w:rsidRDefault="003A2527" w:rsidP="00681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2,237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2,369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2,459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2,998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2,182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2,239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2,631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2,075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2,461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1,748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2,151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1,936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1,357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1,775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1,227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horas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0,464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0,787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horas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0,348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0,367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</w:t>
            </w:r>
          </w:p>
        </w:tc>
      </w:tr>
    </w:tbl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6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6"/>
        </w:rPr>
      </w:pPr>
    </w:p>
    <w:p w:rsidR="003A2527" w:rsidRDefault="003A2527" w:rsidP="003A2527">
      <w:pPr>
        <w:pStyle w:val="Corpodetexto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Determinação da área da seção da tubulação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coletores funcionando a seção plena, tem-se: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o diâmetro da galeria para o conduto funcionando a seção plena será calculado pela expressão: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D = </w:t>
      </w:r>
      <w:r>
        <w:rPr>
          <w:rFonts w:ascii="Arial" w:hAnsi="Arial" w:cs="Arial"/>
          <w:b/>
          <w:u w:val="single"/>
        </w:rPr>
        <w:t xml:space="preserve">1,55( Q x m) </w:t>
      </w:r>
      <w:r>
        <w:rPr>
          <w:rFonts w:ascii="Arial" w:hAnsi="Arial" w:cs="Arial"/>
          <w:b/>
          <w:u w:val="single"/>
          <w:vertAlign w:val="superscript"/>
        </w:rPr>
        <w:t>3/8</w:t>
      </w:r>
      <w:r>
        <w:rPr>
          <w:rFonts w:ascii="Arial" w:hAnsi="Arial" w:cs="Arial"/>
          <w:b/>
        </w:rPr>
        <w:t xml:space="preserve"> 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( I </w:t>
      </w:r>
      <w:r>
        <w:rPr>
          <w:rFonts w:ascii="Arial" w:hAnsi="Arial" w:cs="Arial"/>
          <w:b/>
          <w:vertAlign w:val="superscript"/>
        </w:rPr>
        <w:t>½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  <w:vertAlign w:val="superscript"/>
        </w:rPr>
        <w:t>3/8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Onde: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 = diâmetro em metros;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 = vazão de projeto em m³/s;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= declividade adotada para o coletor em m/m;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 = coeficiente de rugosidade de Manning, para tubos de concreto m=0,013.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determinar a velocidade de escoamento à seção plena, é utilizada a fórmula: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V = </w:t>
      </w:r>
      <w:r>
        <w:rPr>
          <w:rFonts w:ascii="Arial" w:hAnsi="Arial" w:cs="Arial"/>
          <w:b/>
          <w:u w:val="single"/>
        </w:rPr>
        <w:t>0,397 x D</w:t>
      </w:r>
      <w:r>
        <w:rPr>
          <w:rFonts w:ascii="Arial" w:hAnsi="Arial" w:cs="Arial"/>
          <w:b/>
          <w:u w:val="single"/>
          <w:vertAlign w:val="superscript"/>
        </w:rPr>
        <w:t>2/3</w:t>
      </w:r>
      <w:r>
        <w:rPr>
          <w:rFonts w:ascii="Arial" w:hAnsi="Arial" w:cs="Arial"/>
          <w:b/>
          <w:u w:val="single"/>
        </w:rPr>
        <w:t xml:space="preserve"> x I</w:t>
      </w:r>
      <w:r>
        <w:rPr>
          <w:rFonts w:ascii="Arial" w:hAnsi="Arial" w:cs="Arial"/>
          <w:b/>
          <w:u w:val="single"/>
          <w:vertAlign w:val="superscript"/>
        </w:rPr>
        <w:t>1/2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 xml:space="preserve">                       </w:t>
      </w:r>
      <w:r>
        <w:rPr>
          <w:rFonts w:ascii="Arial" w:hAnsi="Arial" w:cs="Arial"/>
          <w:b/>
        </w:rPr>
        <w:t>m</w:t>
      </w:r>
    </w:p>
    <w:p w:rsidR="003A2527" w:rsidRDefault="003A2527" w:rsidP="003A2527"/>
    <w:p w:rsidR="003A2527" w:rsidRDefault="003A2527" w:rsidP="003A2527">
      <w:pPr>
        <w:rPr>
          <w:rFonts w:ascii="Arial" w:hAnsi="Arial" w:cs="Arial"/>
        </w:rPr>
      </w:pPr>
      <w:r>
        <w:rPr>
          <w:rFonts w:ascii="Arial" w:hAnsi="Arial" w:cs="Arial"/>
        </w:rPr>
        <w:t>Os resultados são apresentados na planilha em anexo.</w:t>
      </w: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/>
    <w:p w:rsidR="003A2527" w:rsidRDefault="003A2527" w:rsidP="003A25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Renato Medeiros Sperb</w:t>
      </w:r>
    </w:p>
    <w:p w:rsidR="003A2527" w:rsidRDefault="003A2527" w:rsidP="003A25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Eng. Civil CREA 42.680-9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acordo:_________________________________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Prefeito Municipal</w:t>
      </w: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3A2527" w:rsidSect="00DA21EA">
      <w:footerReference w:type="even" r:id="rId9"/>
      <w:footerReference w:type="default" r:id="rId10"/>
      <w:pgSz w:w="12240" w:h="15840"/>
      <w:pgMar w:top="993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57" w:rsidRDefault="00763E57">
      <w:r>
        <w:separator/>
      </w:r>
    </w:p>
  </w:endnote>
  <w:endnote w:type="continuationSeparator" w:id="0">
    <w:p w:rsidR="00763E57" w:rsidRDefault="0076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AF" w:rsidRDefault="002F49DD" w:rsidP="004266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27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7AF" w:rsidRDefault="007227AF" w:rsidP="004266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AF" w:rsidRDefault="002F49DD" w:rsidP="004266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27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0028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7227AF" w:rsidRDefault="007227AF" w:rsidP="0042666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57" w:rsidRDefault="00763E57">
      <w:r>
        <w:separator/>
      </w:r>
    </w:p>
  </w:footnote>
  <w:footnote w:type="continuationSeparator" w:id="0">
    <w:p w:rsidR="00763E57" w:rsidRDefault="0076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235D5E"/>
    <w:multiLevelType w:val="hybridMultilevel"/>
    <w:tmpl w:val="C1F68122"/>
    <w:lvl w:ilvl="0" w:tplc="B134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366C"/>
    <w:multiLevelType w:val="hybridMultilevel"/>
    <w:tmpl w:val="1458BBAE"/>
    <w:lvl w:ilvl="0" w:tplc="C2908BB0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51EE5"/>
    <w:multiLevelType w:val="singleLevel"/>
    <w:tmpl w:val="E3D29096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">
    <w:nsid w:val="2E0D544C"/>
    <w:multiLevelType w:val="hybridMultilevel"/>
    <w:tmpl w:val="59CE86DE"/>
    <w:lvl w:ilvl="0" w:tplc="FA007712">
      <w:start w:val="1"/>
      <w:numFmt w:val="lowerLetter"/>
      <w:lvlText w:val="%1)"/>
      <w:lvlJc w:val="left"/>
      <w:pPr>
        <w:tabs>
          <w:tab w:val="num" w:pos="1069"/>
        </w:tabs>
        <w:ind w:left="0" w:firstLine="709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213ED"/>
    <w:multiLevelType w:val="hybridMultilevel"/>
    <w:tmpl w:val="11E84D8E"/>
    <w:lvl w:ilvl="0" w:tplc="5ADE769A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BBE7AB0">
      <w:start w:val="1"/>
      <w:numFmt w:val="bullet"/>
      <w:lvlText w:val=""/>
      <w:lvlJc w:val="left"/>
      <w:pPr>
        <w:tabs>
          <w:tab w:val="num" w:pos="2160"/>
        </w:tabs>
        <w:ind w:left="1091" w:firstLine="709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57B03"/>
    <w:multiLevelType w:val="hybridMultilevel"/>
    <w:tmpl w:val="338CDE40"/>
    <w:lvl w:ilvl="0" w:tplc="F0DA789C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C1B4A2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44D8C"/>
    <w:multiLevelType w:val="multilevel"/>
    <w:tmpl w:val="92E84F16"/>
    <w:lvl w:ilvl="0">
      <w:start w:val="1"/>
      <w:numFmt w:val="upperLetter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3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3206B2B"/>
    <w:multiLevelType w:val="hybridMultilevel"/>
    <w:tmpl w:val="B5809ECC"/>
    <w:lvl w:ilvl="0" w:tplc="62BE87B4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96A03"/>
    <w:multiLevelType w:val="hybridMultilevel"/>
    <w:tmpl w:val="7702097C"/>
    <w:lvl w:ilvl="0" w:tplc="CEB8F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8F0D45"/>
    <w:multiLevelType w:val="hybridMultilevel"/>
    <w:tmpl w:val="7F88E47A"/>
    <w:lvl w:ilvl="0" w:tplc="66043D5E">
      <w:start w:val="1"/>
      <w:numFmt w:val="lowerLetter"/>
      <w:lvlText w:val="%1)"/>
      <w:lvlJc w:val="left"/>
      <w:pPr>
        <w:tabs>
          <w:tab w:val="num" w:pos="1069"/>
        </w:tabs>
        <w:ind w:left="0" w:firstLine="709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C2C7D"/>
    <w:multiLevelType w:val="hybridMultilevel"/>
    <w:tmpl w:val="DBC6D0E2"/>
    <w:lvl w:ilvl="0" w:tplc="72744140">
      <w:start w:val="1"/>
      <w:numFmt w:val="lowerLetter"/>
      <w:lvlText w:val="%1)"/>
      <w:lvlJc w:val="left"/>
      <w:pPr>
        <w:tabs>
          <w:tab w:val="num" w:pos="1069"/>
        </w:tabs>
        <w:ind w:left="0" w:firstLine="709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D028AC"/>
    <w:multiLevelType w:val="multilevel"/>
    <w:tmpl w:val="4456F0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/>
        <w:u w:val="single"/>
      </w:rPr>
    </w:lvl>
  </w:abstractNum>
  <w:abstractNum w:abstractNumId="13">
    <w:nsid w:val="7A6F384C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C981A6F"/>
    <w:multiLevelType w:val="multilevel"/>
    <w:tmpl w:val="B3869524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2366" w:hanging="1515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3217" w:hanging="1515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4068" w:hanging="1515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4919" w:hanging="1515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5770" w:hanging="1515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6621" w:hanging="1515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/>
        <w:u w:val="single"/>
      </w:rPr>
    </w:lvl>
  </w:abstractNum>
  <w:abstractNum w:abstractNumId="15">
    <w:nsid w:val="7FCA2A67"/>
    <w:multiLevelType w:val="multilevel"/>
    <w:tmpl w:val="CE6E0E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4"/>
  </w:num>
  <w:num w:numId="5">
    <w:abstractNumId w:val="9"/>
  </w:num>
  <w:num w:numId="6">
    <w:abstractNumId w:val="12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8A"/>
    <w:rsid w:val="00005FBF"/>
    <w:rsid w:val="00007625"/>
    <w:rsid w:val="00010DA8"/>
    <w:rsid w:val="00013E54"/>
    <w:rsid w:val="00015E2F"/>
    <w:rsid w:val="00021998"/>
    <w:rsid w:val="00027C88"/>
    <w:rsid w:val="000336C0"/>
    <w:rsid w:val="000417BF"/>
    <w:rsid w:val="000435BF"/>
    <w:rsid w:val="00057123"/>
    <w:rsid w:val="0005763B"/>
    <w:rsid w:val="00062078"/>
    <w:rsid w:val="000652E8"/>
    <w:rsid w:val="000665E5"/>
    <w:rsid w:val="00067C6E"/>
    <w:rsid w:val="00072835"/>
    <w:rsid w:val="000729E1"/>
    <w:rsid w:val="0008483A"/>
    <w:rsid w:val="000907EE"/>
    <w:rsid w:val="000943D6"/>
    <w:rsid w:val="000A103F"/>
    <w:rsid w:val="000A143C"/>
    <w:rsid w:val="000A529B"/>
    <w:rsid w:val="000B31E7"/>
    <w:rsid w:val="000B5BAD"/>
    <w:rsid w:val="000B6891"/>
    <w:rsid w:val="000C03A8"/>
    <w:rsid w:val="000D2A14"/>
    <w:rsid w:val="000D705D"/>
    <w:rsid w:val="000E191B"/>
    <w:rsid w:val="000E1DDA"/>
    <w:rsid w:val="000F228B"/>
    <w:rsid w:val="000F5902"/>
    <w:rsid w:val="00111C33"/>
    <w:rsid w:val="00113AD1"/>
    <w:rsid w:val="001143B1"/>
    <w:rsid w:val="00115A32"/>
    <w:rsid w:val="00115E88"/>
    <w:rsid w:val="00121AEC"/>
    <w:rsid w:val="0012401E"/>
    <w:rsid w:val="00124076"/>
    <w:rsid w:val="00137411"/>
    <w:rsid w:val="00147725"/>
    <w:rsid w:val="001501A0"/>
    <w:rsid w:val="00161EB9"/>
    <w:rsid w:val="00162DF7"/>
    <w:rsid w:val="001630F5"/>
    <w:rsid w:val="00164880"/>
    <w:rsid w:val="00164C32"/>
    <w:rsid w:val="00167BCC"/>
    <w:rsid w:val="00171A90"/>
    <w:rsid w:val="00182288"/>
    <w:rsid w:val="00192A67"/>
    <w:rsid w:val="00194F5C"/>
    <w:rsid w:val="001B7CB5"/>
    <w:rsid w:val="001C05FA"/>
    <w:rsid w:val="001C3331"/>
    <w:rsid w:val="001D2EB8"/>
    <w:rsid w:val="001D740E"/>
    <w:rsid w:val="001D7F9C"/>
    <w:rsid w:val="001E25CD"/>
    <w:rsid w:val="001F009D"/>
    <w:rsid w:val="001F091E"/>
    <w:rsid w:val="00201082"/>
    <w:rsid w:val="002047C5"/>
    <w:rsid w:val="00206AF7"/>
    <w:rsid w:val="00213EBB"/>
    <w:rsid w:val="00224D2F"/>
    <w:rsid w:val="00226226"/>
    <w:rsid w:val="00237E55"/>
    <w:rsid w:val="00242E36"/>
    <w:rsid w:val="0024497B"/>
    <w:rsid w:val="002457CD"/>
    <w:rsid w:val="00252E31"/>
    <w:rsid w:val="00260B34"/>
    <w:rsid w:val="002803DB"/>
    <w:rsid w:val="0028532B"/>
    <w:rsid w:val="002876F7"/>
    <w:rsid w:val="00294D97"/>
    <w:rsid w:val="00295519"/>
    <w:rsid w:val="002A0BB7"/>
    <w:rsid w:val="002A7EA0"/>
    <w:rsid w:val="002B5D5E"/>
    <w:rsid w:val="002C1E60"/>
    <w:rsid w:val="002C2AEE"/>
    <w:rsid w:val="002C4111"/>
    <w:rsid w:val="002C7FC1"/>
    <w:rsid w:val="002D2087"/>
    <w:rsid w:val="002D2AAC"/>
    <w:rsid w:val="002D3215"/>
    <w:rsid w:val="002D3E47"/>
    <w:rsid w:val="002D6EF5"/>
    <w:rsid w:val="002E02C9"/>
    <w:rsid w:val="002E3C22"/>
    <w:rsid w:val="002E7486"/>
    <w:rsid w:val="002F1368"/>
    <w:rsid w:val="002F49DD"/>
    <w:rsid w:val="002F549A"/>
    <w:rsid w:val="002F56A1"/>
    <w:rsid w:val="003072DD"/>
    <w:rsid w:val="0031317A"/>
    <w:rsid w:val="00314886"/>
    <w:rsid w:val="00316E0A"/>
    <w:rsid w:val="003172E8"/>
    <w:rsid w:val="0032324D"/>
    <w:rsid w:val="00325AAB"/>
    <w:rsid w:val="00327B54"/>
    <w:rsid w:val="00333FAB"/>
    <w:rsid w:val="00340090"/>
    <w:rsid w:val="0034543D"/>
    <w:rsid w:val="00345F30"/>
    <w:rsid w:val="0034789E"/>
    <w:rsid w:val="003528B4"/>
    <w:rsid w:val="0035616B"/>
    <w:rsid w:val="00362115"/>
    <w:rsid w:val="00364831"/>
    <w:rsid w:val="00365E66"/>
    <w:rsid w:val="00366F5B"/>
    <w:rsid w:val="00370C2A"/>
    <w:rsid w:val="00372EA9"/>
    <w:rsid w:val="0038011D"/>
    <w:rsid w:val="00380C84"/>
    <w:rsid w:val="003876A8"/>
    <w:rsid w:val="003924F0"/>
    <w:rsid w:val="00394447"/>
    <w:rsid w:val="00396F51"/>
    <w:rsid w:val="003A1BEC"/>
    <w:rsid w:val="003A2527"/>
    <w:rsid w:val="003A3F6F"/>
    <w:rsid w:val="003A424F"/>
    <w:rsid w:val="003A57BD"/>
    <w:rsid w:val="003D00C0"/>
    <w:rsid w:val="003D16D0"/>
    <w:rsid w:val="003E0874"/>
    <w:rsid w:val="003E27D2"/>
    <w:rsid w:val="003E3F0D"/>
    <w:rsid w:val="003E6815"/>
    <w:rsid w:val="003F6C11"/>
    <w:rsid w:val="00403A8F"/>
    <w:rsid w:val="00407D4F"/>
    <w:rsid w:val="0041081B"/>
    <w:rsid w:val="00412C2C"/>
    <w:rsid w:val="00413787"/>
    <w:rsid w:val="004201B4"/>
    <w:rsid w:val="004213A7"/>
    <w:rsid w:val="004261CD"/>
    <w:rsid w:val="00426665"/>
    <w:rsid w:val="0044005E"/>
    <w:rsid w:val="00446C77"/>
    <w:rsid w:val="00450F84"/>
    <w:rsid w:val="004510E4"/>
    <w:rsid w:val="0045482E"/>
    <w:rsid w:val="004621C1"/>
    <w:rsid w:val="00467AFF"/>
    <w:rsid w:val="0047003F"/>
    <w:rsid w:val="00475C69"/>
    <w:rsid w:val="00476CFF"/>
    <w:rsid w:val="00477444"/>
    <w:rsid w:val="00477D11"/>
    <w:rsid w:val="004823DD"/>
    <w:rsid w:val="00490BF8"/>
    <w:rsid w:val="0049178A"/>
    <w:rsid w:val="00491B1C"/>
    <w:rsid w:val="004927B1"/>
    <w:rsid w:val="00495B54"/>
    <w:rsid w:val="00497FBB"/>
    <w:rsid w:val="004A035C"/>
    <w:rsid w:val="004A1EC4"/>
    <w:rsid w:val="004A27DD"/>
    <w:rsid w:val="004A33F8"/>
    <w:rsid w:val="004A5DF2"/>
    <w:rsid w:val="004B3C65"/>
    <w:rsid w:val="004B4B9C"/>
    <w:rsid w:val="004C43B3"/>
    <w:rsid w:val="004D0185"/>
    <w:rsid w:val="004D2B4C"/>
    <w:rsid w:val="004D4E2A"/>
    <w:rsid w:val="004D7316"/>
    <w:rsid w:val="004E16A5"/>
    <w:rsid w:val="004E4817"/>
    <w:rsid w:val="004E7F1B"/>
    <w:rsid w:val="005013BC"/>
    <w:rsid w:val="00503827"/>
    <w:rsid w:val="00511D17"/>
    <w:rsid w:val="0051428D"/>
    <w:rsid w:val="0051661E"/>
    <w:rsid w:val="005178EC"/>
    <w:rsid w:val="0052446C"/>
    <w:rsid w:val="00532519"/>
    <w:rsid w:val="0053588A"/>
    <w:rsid w:val="00536C88"/>
    <w:rsid w:val="00536CB1"/>
    <w:rsid w:val="00542A3E"/>
    <w:rsid w:val="0054403D"/>
    <w:rsid w:val="00545A39"/>
    <w:rsid w:val="00552E93"/>
    <w:rsid w:val="00554B56"/>
    <w:rsid w:val="00570961"/>
    <w:rsid w:val="005714F3"/>
    <w:rsid w:val="00571F57"/>
    <w:rsid w:val="0057391F"/>
    <w:rsid w:val="005739C7"/>
    <w:rsid w:val="00576213"/>
    <w:rsid w:val="00584E8B"/>
    <w:rsid w:val="0058513A"/>
    <w:rsid w:val="0059341B"/>
    <w:rsid w:val="00596CBA"/>
    <w:rsid w:val="005974C9"/>
    <w:rsid w:val="00597EA3"/>
    <w:rsid w:val="005A6E3B"/>
    <w:rsid w:val="005B161E"/>
    <w:rsid w:val="005B1A66"/>
    <w:rsid w:val="005B1F8E"/>
    <w:rsid w:val="005B3DFB"/>
    <w:rsid w:val="005B3E5D"/>
    <w:rsid w:val="005B46E6"/>
    <w:rsid w:val="005C1066"/>
    <w:rsid w:val="005C2967"/>
    <w:rsid w:val="005C308D"/>
    <w:rsid w:val="005C36DC"/>
    <w:rsid w:val="005C3894"/>
    <w:rsid w:val="005D13A0"/>
    <w:rsid w:val="005D5AEA"/>
    <w:rsid w:val="005D679B"/>
    <w:rsid w:val="005E76D0"/>
    <w:rsid w:val="005F4DB5"/>
    <w:rsid w:val="005F5A0C"/>
    <w:rsid w:val="005F6F95"/>
    <w:rsid w:val="005F7651"/>
    <w:rsid w:val="00601130"/>
    <w:rsid w:val="00601CC2"/>
    <w:rsid w:val="00606D6C"/>
    <w:rsid w:val="00622A22"/>
    <w:rsid w:val="006271E2"/>
    <w:rsid w:val="0063543A"/>
    <w:rsid w:val="00635CD7"/>
    <w:rsid w:val="00654E8F"/>
    <w:rsid w:val="00662807"/>
    <w:rsid w:val="00672145"/>
    <w:rsid w:val="006753A4"/>
    <w:rsid w:val="006804B7"/>
    <w:rsid w:val="00683922"/>
    <w:rsid w:val="00683EC1"/>
    <w:rsid w:val="00686732"/>
    <w:rsid w:val="006900B9"/>
    <w:rsid w:val="0069392F"/>
    <w:rsid w:val="00693991"/>
    <w:rsid w:val="00695A8F"/>
    <w:rsid w:val="006B3C69"/>
    <w:rsid w:val="006B4B44"/>
    <w:rsid w:val="006C7A2A"/>
    <w:rsid w:val="006E11C5"/>
    <w:rsid w:val="006F056C"/>
    <w:rsid w:val="006F0F89"/>
    <w:rsid w:val="00706450"/>
    <w:rsid w:val="00712800"/>
    <w:rsid w:val="0071592E"/>
    <w:rsid w:val="007170C8"/>
    <w:rsid w:val="00720515"/>
    <w:rsid w:val="00721437"/>
    <w:rsid w:val="007227AF"/>
    <w:rsid w:val="00737A7A"/>
    <w:rsid w:val="007462FA"/>
    <w:rsid w:val="00752470"/>
    <w:rsid w:val="00755E59"/>
    <w:rsid w:val="00763E57"/>
    <w:rsid w:val="007719A5"/>
    <w:rsid w:val="0077225D"/>
    <w:rsid w:val="00773BD4"/>
    <w:rsid w:val="00775958"/>
    <w:rsid w:val="00777729"/>
    <w:rsid w:val="00777FAA"/>
    <w:rsid w:val="0078211E"/>
    <w:rsid w:val="00784172"/>
    <w:rsid w:val="00785969"/>
    <w:rsid w:val="00786FB7"/>
    <w:rsid w:val="007925B3"/>
    <w:rsid w:val="007A37AE"/>
    <w:rsid w:val="007A7294"/>
    <w:rsid w:val="007B7D49"/>
    <w:rsid w:val="007C0686"/>
    <w:rsid w:val="007C0B51"/>
    <w:rsid w:val="007C2E9D"/>
    <w:rsid w:val="007C5E2B"/>
    <w:rsid w:val="007C6F1E"/>
    <w:rsid w:val="007E0D1F"/>
    <w:rsid w:val="007E2798"/>
    <w:rsid w:val="007E3A79"/>
    <w:rsid w:val="007E5F02"/>
    <w:rsid w:val="007F0B44"/>
    <w:rsid w:val="00811F6D"/>
    <w:rsid w:val="00813678"/>
    <w:rsid w:val="0081578C"/>
    <w:rsid w:val="00822511"/>
    <w:rsid w:val="00830B74"/>
    <w:rsid w:val="00831B17"/>
    <w:rsid w:val="00834DCA"/>
    <w:rsid w:val="00837C29"/>
    <w:rsid w:val="00841943"/>
    <w:rsid w:val="008422E9"/>
    <w:rsid w:val="00850FCC"/>
    <w:rsid w:val="00861465"/>
    <w:rsid w:val="00862739"/>
    <w:rsid w:val="00865124"/>
    <w:rsid w:val="00865B47"/>
    <w:rsid w:val="00865DDB"/>
    <w:rsid w:val="00877579"/>
    <w:rsid w:val="00885292"/>
    <w:rsid w:val="0088550D"/>
    <w:rsid w:val="008922B6"/>
    <w:rsid w:val="00894C9B"/>
    <w:rsid w:val="00895C55"/>
    <w:rsid w:val="008A6ECA"/>
    <w:rsid w:val="008B0AC5"/>
    <w:rsid w:val="008B0BD9"/>
    <w:rsid w:val="008B0CF9"/>
    <w:rsid w:val="008C0DA1"/>
    <w:rsid w:val="008C3889"/>
    <w:rsid w:val="008C3B97"/>
    <w:rsid w:val="008C6227"/>
    <w:rsid w:val="008C6BF4"/>
    <w:rsid w:val="008C6D6A"/>
    <w:rsid w:val="008D106F"/>
    <w:rsid w:val="008D3EA5"/>
    <w:rsid w:val="008D7BA5"/>
    <w:rsid w:val="008D7E21"/>
    <w:rsid w:val="008F019D"/>
    <w:rsid w:val="008F49A7"/>
    <w:rsid w:val="008F7FA7"/>
    <w:rsid w:val="009009C6"/>
    <w:rsid w:val="00904B81"/>
    <w:rsid w:val="009134F2"/>
    <w:rsid w:val="00913F67"/>
    <w:rsid w:val="00914D8E"/>
    <w:rsid w:val="009171E1"/>
    <w:rsid w:val="00923077"/>
    <w:rsid w:val="00926360"/>
    <w:rsid w:val="00927E8D"/>
    <w:rsid w:val="00933A83"/>
    <w:rsid w:val="00933DB8"/>
    <w:rsid w:val="00933E9B"/>
    <w:rsid w:val="0094701C"/>
    <w:rsid w:val="009515E5"/>
    <w:rsid w:val="00951C7A"/>
    <w:rsid w:val="009541AC"/>
    <w:rsid w:val="00957B6B"/>
    <w:rsid w:val="0096143C"/>
    <w:rsid w:val="0096717A"/>
    <w:rsid w:val="009673B6"/>
    <w:rsid w:val="00970A88"/>
    <w:rsid w:val="0097395A"/>
    <w:rsid w:val="00975AF8"/>
    <w:rsid w:val="0097634B"/>
    <w:rsid w:val="00986F84"/>
    <w:rsid w:val="009873F2"/>
    <w:rsid w:val="0099041D"/>
    <w:rsid w:val="00991240"/>
    <w:rsid w:val="00994457"/>
    <w:rsid w:val="00995898"/>
    <w:rsid w:val="0099609A"/>
    <w:rsid w:val="009A3848"/>
    <w:rsid w:val="009A3A3C"/>
    <w:rsid w:val="009A3B1E"/>
    <w:rsid w:val="009A706F"/>
    <w:rsid w:val="009B09D3"/>
    <w:rsid w:val="009B221C"/>
    <w:rsid w:val="009B22A9"/>
    <w:rsid w:val="009C0740"/>
    <w:rsid w:val="009C2153"/>
    <w:rsid w:val="009C2A16"/>
    <w:rsid w:val="009C2EBE"/>
    <w:rsid w:val="009C5CAC"/>
    <w:rsid w:val="009C635A"/>
    <w:rsid w:val="009D1183"/>
    <w:rsid w:val="009D5678"/>
    <w:rsid w:val="009F4A7F"/>
    <w:rsid w:val="00A0063F"/>
    <w:rsid w:val="00A02ACA"/>
    <w:rsid w:val="00A03832"/>
    <w:rsid w:val="00A051B1"/>
    <w:rsid w:val="00A10F72"/>
    <w:rsid w:val="00A1219E"/>
    <w:rsid w:val="00A14D86"/>
    <w:rsid w:val="00A20F8B"/>
    <w:rsid w:val="00A21246"/>
    <w:rsid w:val="00A3331A"/>
    <w:rsid w:val="00A34804"/>
    <w:rsid w:val="00A37067"/>
    <w:rsid w:val="00A45EFD"/>
    <w:rsid w:val="00A4648E"/>
    <w:rsid w:val="00A5350B"/>
    <w:rsid w:val="00A644D4"/>
    <w:rsid w:val="00A677B0"/>
    <w:rsid w:val="00A67D82"/>
    <w:rsid w:val="00A705FF"/>
    <w:rsid w:val="00A72D6E"/>
    <w:rsid w:val="00A826EF"/>
    <w:rsid w:val="00A858C2"/>
    <w:rsid w:val="00A85AAA"/>
    <w:rsid w:val="00AA4B7B"/>
    <w:rsid w:val="00AA7274"/>
    <w:rsid w:val="00AB3962"/>
    <w:rsid w:val="00AB3F8A"/>
    <w:rsid w:val="00AB4042"/>
    <w:rsid w:val="00AC54AF"/>
    <w:rsid w:val="00AC6858"/>
    <w:rsid w:val="00AC7651"/>
    <w:rsid w:val="00AC7829"/>
    <w:rsid w:val="00AD00D0"/>
    <w:rsid w:val="00AD0232"/>
    <w:rsid w:val="00AD689D"/>
    <w:rsid w:val="00AD7506"/>
    <w:rsid w:val="00AE1FC6"/>
    <w:rsid w:val="00AE31B3"/>
    <w:rsid w:val="00AE5C0C"/>
    <w:rsid w:val="00AF12D0"/>
    <w:rsid w:val="00AF4CAC"/>
    <w:rsid w:val="00AF657E"/>
    <w:rsid w:val="00B02B9B"/>
    <w:rsid w:val="00B03E38"/>
    <w:rsid w:val="00B04CE0"/>
    <w:rsid w:val="00B140F5"/>
    <w:rsid w:val="00B14A06"/>
    <w:rsid w:val="00B1710C"/>
    <w:rsid w:val="00B20DD2"/>
    <w:rsid w:val="00B21BEE"/>
    <w:rsid w:val="00B24EEF"/>
    <w:rsid w:val="00B2599B"/>
    <w:rsid w:val="00B32E1E"/>
    <w:rsid w:val="00B379CB"/>
    <w:rsid w:val="00B4635D"/>
    <w:rsid w:val="00B47235"/>
    <w:rsid w:val="00B57CC2"/>
    <w:rsid w:val="00B57DA2"/>
    <w:rsid w:val="00B64B48"/>
    <w:rsid w:val="00B65ADE"/>
    <w:rsid w:val="00B72F64"/>
    <w:rsid w:val="00B73062"/>
    <w:rsid w:val="00B83E59"/>
    <w:rsid w:val="00B87FFB"/>
    <w:rsid w:val="00B910AA"/>
    <w:rsid w:val="00B97B33"/>
    <w:rsid w:val="00BA5135"/>
    <w:rsid w:val="00BA5456"/>
    <w:rsid w:val="00BA5DBF"/>
    <w:rsid w:val="00BB2D6B"/>
    <w:rsid w:val="00BB31B5"/>
    <w:rsid w:val="00BB4C35"/>
    <w:rsid w:val="00BB77C6"/>
    <w:rsid w:val="00BB7FA2"/>
    <w:rsid w:val="00BC3374"/>
    <w:rsid w:val="00BC5D26"/>
    <w:rsid w:val="00BD07DD"/>
    <w:rsid w:val="00BE2440"/>
    <w:rsid w:val="00BE5954"/>
    <w:rsid w:val="00BE6ED7"/>
    <w:rsid w:val="00BF152B"/>
    <w:rsid w:val="00BF51A8"/>
    <w:rsid w:val="00BF558D"/>
    <w:rsid w:val="00BF698C"/>
    <w:rsid w:val="00C05F2A"/>
    <w:rsid w:val="00C07FB7"/>
    <w:rsid w:val="00C154F7"/>
    <w:rsid w:val="00C15A72"/>
    <w:rsid w:val="00C15C38"/>
    <w:rsid w:val="00C201AD"/>
    <w:rsid w:val="00C204E0"/>
    <w:rsid w:val="00C230EF"/>
    <w:rsid w:val="00C30BB5"/>
    <w:rsid w:val="00C33A9F"/>
    <w:rsid w:val="00C34C5B"/>
    <w:rsid w:val="00C379D6"/>
    <w:rsid w:val="00C37E4A"/>
    <w:rsid w:val="00C411F7"/>
    <w:rsid w:val="00C41B9F"/>
    <w:rsid w:val="00C44A4A"/>
    <w:rsid w:val="00C5008B"/>
    <w:rsid w:val="00C5291B"/>
    <w:rsid w:val="00C563B3"/>
    <w:rsid w:val="00C66376"/>
    <w:rsid w:val="00C75364"/>
    <w:rsid w:val="00C77C0A"/>
    <w:rsid w:val="00C837C4"/>
    <w:rsid w:val="00C85626"/>
    <w:rsid w:val="00C945E9"/>
    <w:rsid w:val="00C9684E"/>
    <w:rsid w:val="00CA142C"/>
    <w:rsid w:val="00CA2A68"/>
    <w:rsid w:val="00CA3859"/>
    <w:rsid w:val="00CB0E9B"/>
    <w:rsid w:val="00CB2C9B"/>
    <w:rsid w:val="00CB70A8"/>
    <w:rsid w:val="00CB7A62"/>
    <w:rsid w:val="00CC3731"/>
    <w:rsid w:val="00CC40AF"/>
    <w:rsid w:val="00CC474E"/>
    <w:rsid w:val="00CC6191"/>
    <w:rsid w:val="00CD183B"/>
    <w:rsid w:val="00CD3753"/>
    <w:rsid w:val="00CD4A90"/>
    <w:rsid w:val="00CD523B"/>
    <w:rsid w:val="00CD796E"/>
    <w:rsid w:val="00CD7AEC"/>
    <w:rsid w:val="00CE5046"/>
    <w:rsid w:val="00CE6747"/>
    <w:rsid w:val="00CE7D3D"/>
    <w:rsid w:val="00CF766E"/>
    <w:rsid w:val="00D00400"/>
    <w:rsid w:val="00D057BE"/>
    <w:rsid w:val="00D05A54"/>
    <w:rsid w:val="00D103F8"/>
    <w:rsid w:val="00D12ED8"/>
    <w:rsid w:val="00D21C6B"/>
    <w:rsid w:val="00D270FC"/>
    <w:rsid w:val="00D27BB3"/>
    <w:rsid w:val="00D3067C"/>
    <w:rsid w:val="00D312B5"/>
    <w:rsid w:val="00D343E4"/>
    <w:rsid w:val="00D352CF"/>
    <w:rsid w:val="00D35ABE"/>
    <w:rsid w:val="00D3771E"/>
    <w:rsid w:val="00D40A10"/>
    <w:rsid w:val="00D433ED"/>
    <w:rsid w:val="00D43CF2"/>
    <w:rsid w:val="00D4753E"/>
    <w:rsid w:val="00D54B6D"/>
    <w:rsid w:val="00D5691E"/>
    <w:rsid w:val="00D57540"/>
    <w:rsid w:val="00D61310"/>
    <w:rsid w:val="00D6189D"/>
    <w:rsid w:val="00D97586"/>
    <w:rsid w:val="00DA05D1"/>
    <w:rsid w:val="00DA0AD0"/>
    <w:rsid w:val="00DA21EA"/>
    <w:rsid w:val="00DA2D6C"/>
    <w:rsid w:val="00DA4504"/>
    <w:rsid w:val="00DA485C"/>
    <w:rsid w:val="00DA6916"/>
    <w:rsid w:val="00DB05CC"/>
    <w:rsid w:val="00DB0B56"/>
    <w:rsid w:val="00DB72E7"/>
    <w:rsid w:val="00DC14B2"/>
    <w:rsid w:val="00DC4F57"/>
    <w:rsid w:val="00DC5FD2"/>
    <w:rsid w:val="00DC73D9"/>
    <w:rsid w:val="00DD3B20"/>
    <w:rsid w:val="00DE2A14"/>
    <w:rsid w:val="00DE4482"/>
    <w:rsid w:val="00DE52AD"/>
    <w:rsid w:val="00DE5B03"/>
    <w:rsid w:val="00DF116D"/>
    <w:rsid w:val="00DF4729"/>
    <w:rsid w:val="00DF4B1C"/>
    <w:rsid w:val="00DF606A"/>
    <w:rsid w:val="00E02748"/>
    <w:rsid w:val="00E075D9"/>
    <w:rsid w:val="00E07C2E"/>
    <w:rsid w:val="00E13DD9"/>
    <w:rsid w:val="00E14DCF"/>
    <w:rsid w:val="00E160E0"/>
    <w:rsid w:val="00E17CEF"/>
    <w:rsid w:val="00E30570"/>
    <w:rsid w:val="00E30BDF"/>
    <w:rsid w:val="00E31147"/>
    <w:rsid w:val="00E35C45"/>
    <w:rsid w:val="00E372F7"/>
    <w:rsid w:val="00E402D8"/>
    <w:rsid w:val="00E44218"/>
    <w:rsid w:val="00E52F1B"/>
    <w:rsid w:val="00E56A35"/>
    <w:rsid w:val="00E602D2"/>
    <w:rsid w:val="00E60F96"/>
    <w:rsid w:val="00E63ACA"/>
    <w:rsid w:val="00E6490C"/>
    <w:rsid w:val="00E6743A"/>
    <w:rsid w:val="00E73647"/>
    <w:rsid w:val="00E75431"/>
    <w:rsid w:val="00E8295A"/>
    <w:rsid w:val="00E82E88"/>
    <w:rsid w:val="00E86354"/>
    <w:rsid w:val="00EA1257"/>
    <w:rsid w:val="00EB64F8"/>
    <w:rsid w:val="00EC4127"/>
    <w:rsid w:val="00ED4C2A"/>
    <w:rsid w:val="00EE1E8E"/>
    <w:rsid w:val="00EE4A92"/>
    <w:rsid w:val="00EE6ECB"/>
    <w:rsid w:val="00EF0028"/>
    <w:rsid w:val="00EF17DC"/>
    <w:rsid w:val="00EF5319"/>
    <w:rsid w:val="00F00A1F"/>
    <w:rsid w:val="00F04026"/>
    <w:rsid w:val="00F05AAC"/>
    <w:rsid w:val="00F05CB8"/>
    <w:rsid w:val="00F06165"/>
    <w:rsid w:val="00F17A6F"/>
    <w:rsid w:val="00F17C8F"/>
    <w:rsid w:val="00F21B8E"/>
    <w:rsid w:val="00F22866"/>
    <w:rsid w:val="00F2406C"/>
    <w:rsid w:val="00F26B74"/>
    <w:rsid w:val="00F34EE7"/>
    <w:rsid w:val="00F53141"/>
    <w:rsid w:val="00F55EF1"/>
    <w:rsid w:val="00F5792C"/>
    <w:rsid w:val="00F67EE4"/>
    <w:rsid w:val="00F718AE"/>
    <w:rsid w:val="00F71A86"/>
    <w:rsid w:val="00F72BFE"/>
    <w:rsid w:val="00F75850"/>
    <w:rsid w:val="00F84C67"/>
    <w:rsid w:val="00F84DA0"/>
    <w:rsid w:val="00F8578C"/>
    <w:rsid w:val="00F934A9"/>
    <w:rsid w:val="00F942DA"/>
    <w:rsid w:val="00FA2D54"/>
    <w:rsid w:val="00FA4D38"/>
    <w:rsid w:val="00FB16BD"/>
    <w:rsid w:val="00FC19BB"/>
    <w:rsid w:val="00FC5D8F"/>
    <w:rsid w:val="00FD4AE6"/>
    <w:rsid w:val="00FD76C3"/>
    <w:rsid w:val="00FD7FBA"/>
    <w:rsid w:val="00FE46F5"/>
    <w:rsid w:val="00FE6339"/>
    <w:rsid w:val="00FE79F8"/>
    <w:rsid w:val="00FF0380"/>
    <w:rsid w:val="00FF463B"/>
    <w:rsid w:val="00FF530F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28B"/>
  </w:style>
  <w:style w:type="paragraph" w:styleId="Ttulo1">
    <w:name w:val="heading 1"/>
    <w:basedOn w:val="Normal"/>
    <w:next w:val="Normal"/>
    <w:qFormat/>
    <w:rsid w:val="000F22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F228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0F228B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F228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0F228B"/>
    <w:p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0F228B"/>
    <w:p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0F228B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0F228B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0F228B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2">
    <w:name w:val="List 2"/>
    <w:basedOn w:val="Normal"/>
    <w:rsid w:val="000F228B"/>
    <w:pPr>
      <w:ind w:left="566" w:hanging="283"/>
    </w:pPr>
  </w:style>
  <w:style w:type="paragraph" w:styleId="Lista3">
    <w:name w:val="List 3"/>
    <w:basedOn w:val="Normal"/>
    <w:rsid w:val="000F228B"/>
    <w:pPr>
      <w:ind w:left="849" w:hanging="283"/>
    </w:pPr>
  </w:style>
  <w:style w:type="paragraph" w:styleId="Commarcadores2">
    <w:name w:val="List Bullet 2"/>
    <w:basedOn w:val="Normal"/>
    <w:rsid w:val="000F228B"/>
    <w:pPr>
      <w:ind w:left="566" w:hanging="283"/>
    </w:pPr>
  </w:style>
  <w:style w:type="paragraph" w:styleId="Commarcadores3">
    <w:name w:val="List Bullet 3"/>
    <w:basedOn w:val="Normal"/>
    <w:rsid w:val="000F228B"/>
    <w:pPr>
      <w:ind w:left="849" w:hanging="283"/>
    </w:pPr>
  </w:style>
  <w:style w:type="paragraph" w:styleId="Commarcadores4">
    <w:name w:val="List Bullet 4"/>
    <w:basedOn w:val="Normal"/>
    <w:rsid w:val="000F228B"/>
    <w:pPr>
      <w:ind w:left="1132" w:hanging="283"/>
    </w:pPr>
  </w:style>
  <w:style w:type="paragraph" w:styleId="Listadecontinuao2">
    <w:name w:val="List Continue 2"/>
    <w:basedOn w:val="Normal"/>
    <w:rsid w:val="000F228B"/>
    <w:pPr>
      <w:spacing w:after="120"/>
      <w:ind w:left="566"/>
    </w:pPr>
  </w:style>
  <w:style w:type="paragraph" w:styleId="Recuodecorpodetexto">
    <w:name w:val="Body Text Indent"/>
    <w:basedOn w:val="Normal"/>
    <w:rsid w:val="000F228B"/>
    <w:pPr>
      <w:spacing w:after="120"/>
      <w:ind w:left="283"/>
    </w:pPr>
  </w:style>
  <w:style w:type="paragraph" w:styleId="Corpodetexto3">
    <w:name w:val="Body Text 3"/>
    <w:basedOn w:val="Recuodecorpodetexto"/>
    <w:rsid w:val="000F228B"/>
  </w:style>
  <w:style w:type="paragraph" w:customStyle="1" w:styleId="Corpodetexto4">
    <w:name w:val="Corpo de texto 4"/>
    <w:basedOn w:val="Recuodecorpodetexto"/>
    <w:rsid w:val="000F228B"/>
  </w:style>
  <w:style w:type="paragraph" w:styleId="Recuodecorpodetexto2">
    <w:name w:val="Body Text Indent 2"/>
    <w:basedOn w:val="Normal"/>
    <w:rsid w:val="000F228B"/>
    <w:pPr>
      <w:ind w:left="2835" w:hanging="1558"/>
      <w:jc w:val="both"/>
    </w:pPr>
    <w:rPr>
      <w:rFonts w:ascii="Lucida Casual" w:hAnsi="Lucida Casual"/>
      <w:b/>
      <w:sz w:val="24"/>
    </w:rPr>
  </w:style>
  <w:style w:type="paragraph" w:styleId="Recuodecorpodetexto3">
    <w:name w:val="Body Text Indent 3"/>
    <w:basedOn w:val="Normal"/>
    <w:rsid w:val="000F228B"/>
    <w:pPr>
      <w:ind w:left="567" w:firstLine="851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rsid w:val="009B09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B09D3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D343E4"/>
    <w:pPr>
      <w:ind w:left="993" w:right="49" w:firstLine="708"/>
      <w:jc w:val="both"/>
    </w:pPr>
    <w:rPr>
      <w:rFonts w:ascii="Arial" w:hAnsi="Arial" w:cs="Arial"/>
      <w:sz w:val="24"/>
    </w:rPr>
  </w:style>
  <w:style w:type="character" w:styleId="Nmerodepgina">
    <w:name w:val="page number"/>
    <w:basedOn w:val="Fontepargpadro"/>
    <w:rsid w:val="00426665"/>
  </w:style>
  <w:style w:type="paragraph" w:styleId="Textodebalo">
    <w:name w:val="Balloon Text"/>
    <w:basedOn w:val="Normal"/>
    <w:semiHidden/>
    <w:rsid w:val="00A72D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677B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DE448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4482"/>
  </w:style>
  <w:style w:type="paragraph" w:styleId="Textodecomentrio">
    <w:name w:val="annotation text"/>
    <w:basedOn w:val="Normal"/>
    <w:link w:val="TextodecomentrioChar"/>
    <w:rsid w:val="00DE4482"/>
  </w:style>
  <w:style w:type="character" w:customStyle="1" w:styleId="TextodecomentrioChar">
    <w:name w:val="Texto de comentário Char"/>
    <w:basedOn w:val="Fontepargpadro"/>
    <w:link w:val="Textodecomentrio"/>
    <w:rsid w:val="00DE4482"/>
  </w:style>
  <w:style w:type="table" w:styleId="Tabelacomgrade">
    <w:name w:val="Table Grid"/>
    <w:basedOn w:val="Tabelanormal"/>
    <w:rsid w:val="0039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3924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0778-597C-4D21-8FDB-7CCD1CD5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2487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MATERIAL DA OBRA DE ACRÉSCIMO PARA SALA DE MERENDA ESCOLAR</vt:lpstr>
    </vt:vector>
  </TitlesOfParts>
  <Company>P.M.TIMBO</Company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MATERIAL DA OBRA DE ACRÉSCIMO PARA SALA DE MERENDA ESCOLAR</dc:title>
  <dc:creator>marcos</dc:creator>
  <cp:lastModifiedBy>PMBN</cp:lastModifiedBy>
  <cp:revision>30</cp:revision>
  <cp:lastPrinted>2011-04-26T17:02:00Z</cp:lastPrinted>
  <dcterms:created xsi:type="dcterms:W3CDTF">2011-04-26T14:02:00Z</dcterms:created>
  <dcterms:modified xsi:type="dcterms:W3CDTF">2012-04-13T18:20:00Z</dcterms:modified>
</cp:coreProperties>
</file>